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4D0C1A" w14:textId="77777777" w:rsidR="00466BCB" w:rsidRDefault="00466BCB" w:rsidP="00466BCB">
      <w:r>
        <w:rPr>
          <w:noProof/>
        </w:rPr>
        <w:drawing>
          <wp:inline distT="0" distB="0" distL="0" distR="0" wp14:anchorId="50A1B1F5" wp14:editId="6634EEED">
            <wp:extent cx="2359660" cy="101790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60" cy="101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D5F4FF" w14:textId="77777777" w:rsidR="00466BCB" w:rsidRPr="00494663" w:rsidRDefault="00466BCB" w:rsidP="00466BCB">
      <w:pPr>
        <w:pStyle w:val="wordsection1"/>
        <w:spacing w:before="0" w:after="0" w:line="276" w:lineRule="auto"/>
        <w:contextualSpacing/>
        <w:jc w:val="center"/>
        <w:rPr>
          <w:rFonts w:ascii="Century Gothic" w:hAnsi="Century Gothic"/>
          <w:b/>
          <w:color w:val="00999E"/>
          <w:sz w:val="42"/>
          <w:szCs w:val="42"/>
          <w:lang w:eastAsia="en-US"/>
        </w:rPr>
      </w:pPr>
      <w:r w:rsidRPr="00494663">
        <w:rPr>
          <w:rFonts w:ascii="Century Gothic" w:hAnsi="Century Gothic"/>
          <w:b/>
          <w:color w:val="00999E"/>
          <w:sz w:val="42"/>
          <w:szCs w:val="42"/>
          <w:lang w:eastAsia="en-US"/>
        </w:rPr>
        <w:t>COMMUNIQUÉ DE PRESSE</w:t>
      </w:r>
    </w:p>
    <w:p w14:paraId="5424B347" w14:textId="77777777" w:rsidR="00466BCB" w:rsidRDefault="00466BCB" w:rsidP="00466BCB"/>
    <w:p w14:paraId="12C859DB" w14:textId="77777777" w:rsidR="00466BCB" w:rsidRDefault="00466BCB" w:rsidP="00466BCB">
      <w:pPr>
        <w:autoSpaceDE w:val="0"/>
        <w:autoSpaceDN w:val="0"/>
        <w:jc w:val="center"/>
        <w:rPr>
          <w:rFonts w:ascii="Century Gothic" w:hAnsi="Century Gothic"/>
          <w:b/>
          <w:bCs/>
          <w:color w:val="159C9E"/>
          <w:sz w:val="32"/>
          <w:szCs w:val="32"/>
        </w:rPr>
      </w:pPr>
      <w:r>
        <w:rPr>
          <w:rFonts w:ascii="Century Gothic" w:hAnsi="Century Gothic"/>
          <w:b/>
          <w:bCs/>
          <w:color w:val="159C9E"/>
          <w:sz w:val="32"/>
          <w:szCs w:val="32"/>
        </w:rPr>
        <w:t xml:space="preserve">N87 – </w:t>
      </w:r>
      <w:proofErr w:type="spellStart"/>
      <w:r>
        <w:rPr>
          <w:rFonts w:ascii="Century Gothic" w:hAnsi="Century Gothic"/>
          <w:b/>
          <w:bCs/>
          <w:color w:val="159C9E"/>
          <w:sz w:val="32"/>
          <w:szCs w:val="32"/>
        </w:rPr>
        <w:t>Etalle</w:t>
      </w:r>
      <w:proofErr w:type="spellEnd"/>
      <w:r>
        <w:rPr>
          <w:rFonts w:ascii="Century Gothic" w:hAnsi="Century Gothic"/>
          <w:b/>
          <w:bCs/>
          <w:color w:val="159C9E"/>
          <w:sz w:val="32"/>
          <w:szCs w:val="32"/>
        </w:rPr>
        <w:t xml:space="preserve"> : </w:t>
      </w:r>
    </w:p>
    <w:p w14:paraId="1EFE9711" w14:textId="3258C69E" w:rsidR="00466BCB" w:rsidRPr="003D7EF3" w:rsidRDefault="00466BCB" w:rsidP="00466BCB">
      <w:pPr>
        <w:autoSpaceDE w:val="0"/>
        <w:autoSpaceDN w:val="0"/>
        <w:jc w:val="center"/>
        <w:rPr>
          <w:rFonts w:ascii="Century Gothic" w:hAnsi="Century Gothic"/>
          <w:b/>
          <w:bCs/>
          <w:color w:val="159C9E"/>
          <w:sz w:val="32"/>
          <w:szCs w:val="32"/>
        </w:rPr>
      </w:pPr>
      <w:r w:rsidRPr="003D7EF3">
        <w:rPr>
          <w:rFonts w:ascii="Century Gothic" w:hAnsi="Century Gothic"/>
          <w:b/>
          <w:bCs/>
          <w:color w:val="159C9E"/>
          <w:sz w:val="32"/>
          <w:szCs w:val="32"/>
        </w:rPr>
        <w:t>Lancement d</w:t>
      </w:r>
      <w:r>
        <w:rPr>
          <w:rFonts w:ascii="Century Gothic" w:hAnsi="Century Gothic"/>
          <w:b/>
          <w:bCs/>
          <w:color w:val="159C9E"/>
          <w:sz w:val="32"/>
          <w:szCs w:val="32"/>
        </w:rPr>
        <w:t>’</w:t>
      </w:r>
      <w:r w:rsidRPr="003D7EF3">
        <w:rPr>
          <w:rFonts w:ascii="Century Gothic" w:hAnsi="Century Gothic"/>
          <w:b/>
          <w:bCs/>
          <w:color w:val="159C9E"/>
          <w:sz w:val="32"/>
          <w:szCs w:val="32"/>
        </w:rPr>
        <w:t>u</w:t>
      </w:r>
      <w:r>
        <w:rPr>
          <w:rFonts w:ascii="Century Gothic" w:hAnsi="Century Gothic"/>
          <w:b/>
          <w:bCs/>
          <w:color w:val="159C9E"/>
          <w:sz w:val="32"/>
          <w:szCs w:val="32"/>
        </w:rPr>
        <w:t>n</w:t>
      </w:r>
      <w:r w:rsidRPr="003D7EF3">
        <w:rPr>
          <w:rFonts w:ascii="Century Gothic" w:hAnsi="Century Gothic"/>
          <w:b/>
          <w:bCs/>
          <w:color w:val="159C9E"/>
          <w:sz w:val="32"/>
          <w:szCs w:val="32"/>
        </w:rPr>
        <w:t xml:space="preserve"> chantier de </w:t>
      </w:r>
      <w:r>
        <w:rPr>
          <w:rFonts w:ascii="Century Gothic" w:hAnsi="Century Gothic"/>
          <w:b/>
          <w:bCs/>
          <w:color w:val="159C9E"/>
          <w:sz w:val="32"/>
          <w:szCs w:val="32"/>
        </w:rPr>
        <w:t>réhabilitation de revêtement</w:t>
      </w:r>
      <w:r w:rsidRPr="003D7EF3">
        <w:rPr>
          <w:rFonts w:ascii="Century Gothic" w:hAnsi="Century Gothic"/>
          <w:b/>
          <w:bCs/>
          <w:color w:val="159C9E"/>
          <w:sz w:val="32"/>
          <w:szCs w:val="32"/>
        </w:rPr>
        <w:br/>
      </w:r>
    </w:p>
    <w:p w14:paraId="27F62CB6" w14:textId="5C5157C4" w:rsidR="00466BCB" w:rsidRPr="001427F1" w:rsidRDefault="00466BCB" w:rsidP="00466BCB">
      <w:pPr>
        <w:pStyle w:val="Sansinterligne"/>
        <w:rPr>
          <w:rFonts w:ascii="Century Gothic" w:hAnsi="Century Gothic"/>
          <w:b/>
          <w:bCs/>
          <w:sz w:val="22"/>
          <w:szCs w:val="22"/>
          <w:lang w:val="fr-FR"/>
        </w:rPr>
      </w:pPr>
      <w:r w:rsidRPr="001427F1">
        <w:rPr>
          <w:rFonts w:ascii="Century Gothic" w:hAnsi="Century Gothic"/>
          <w:b/>
          <w:bCs/>
          <w:sz w:val="22"/>
          <w:szCs w:val="22"/>
          <w:lang w:val="fr-FR"/>
        </w:rPr>
        <w:t>Un chantier de réhabilitation d</w:t>
      </w:r>
      <w:r>
        <w:rPr>
          <w:rFonts w:ascii="Century Gothic" w:hAnsi="Century Gothic"/>
          <w:b/>
          <w:bCs/>
          <w:sz w:val="22"/>
          <w:szCs w:val="22"/>
          <w:lang w:val="fr-FR"/>
        </w:rPr>
        <w:t xml:space="preserve">e la N87 à </w:t>
      </w:r>
      <w:proofErr w:type="spellStart"/>
      <w:r>
        <w:rPr>
          <w:rFonts w:ascii="Century Gothic" w:hAnsi="Century Gothic"/>
          <w:b/>
          <w:bCs/>
          <w:sz w:val="22"/>
          <w:szCs w:val="22"/>
          <w:lang w:val="fr-FR"/>
        </w:rPr>
        <w:t>Etalle</w:t>
      </w:r>
      <w:proofErr w:type="spellEnd"/>
      <w:r>
        <w:rPr>
          <w:rFonts w:ascii="Century Gothic" w:hAnsi="Century Gothic"/>
          <w:b/>
          <w:bCs/>
          <w:sz w:val="22"/>
          <w:szCs w:val="22"/>
          <w:lang w:val="fr-FR"/>
        </w:rPr>
        <w:t xml:space="preserve"> déb</w:t>
      </w:r>
      <w:r w:rsidRPr="001427F1">
        <w:rPr>
          <w:rFonts w:ascii="Century Gothic" w:hAnsi="Century Gothic"/>
          <w:b/>
          <w:bCs/>
          <w:sz w:val="22"/>
          <w:szCs w:val="22"/>
          <w:lang w:val="fr-FR"/>
        </w:rPr>
        <w:t xml:space="preserve">utera </w:t>
      </w:r>
      <w:r>
        <w:rPr>
          <w:rFonts w:ascii="Century Gothic" w:hAnsi="Century Gothic"/>
          <w:b/>
          <w:bCs/>
          <w:sz w:val="22"/>
          <w:szCs w:val="22"/>
          <w:lang w:val="fr-FR"/>
        </w:rPr>
        <w:t>le 2</w:t>
      </w:r>
      <w:r w:rsidR="007C5BE4">
        <w:rPr>
          <w:rFonts w:ascii="Century Gothic" w:hAnsi="Century Gothic"/>
          <w:b/>
          <w:bCs/>
          <w:sz w:val="22"/>
          <w:szCs w:val="22"/>
          <w:lang w:val="fr-FR"/>
        </w:rPr>
        <w:t>4</w:t>
      </w:r>
      <w:r>
        <w:rPr>
          <w:rFonts w:ascii="Century Gothic" w:hAnsi="Century Gothic"/>
          <w:b/>
          <w:bCs/>
          <w:sz w:val="22"/>
          <w:szCs w:val="22"/>
          <w:lang w:val="fr-FR"/>
        </w:rPr>
        <w:t xml:space="preserve"> avril</w:t>
      </w:r>
      <w:r w:rsidR="00E64B87">
        <w:rPr>
          <w:rFonts w:ascii="Century Gothic" w:hAnsi="Century Gothic"/>
          <w:b/>
          <w:bCs/>
          <w:sz w:val="22"/>
          <w:szCs w:val="22"/>
          <w:lang w:val="fr-FR"/>
        </w:rPr>
        <w:t xml:space="preserve"> 2024</w:t>
      </w:r>
      <w:r>
        <w:rPr>
          <w:rFonts w:ascii="Century Gothic" w:hAnsi="Century Gothic"/>
          <w:b/>
          <w:bCs/>
          <w:sz w:val="22"/>
          <w:szCs w:val="22"/>
          <w:lang w:val="fr-FR"/>
        </w:rPr>
        <w:t xml:space="preserve">. </w:t>
      </w:r>
      <w:r w:rsidRPr="001427F1">
        <w:rPr>
          <w:rFonts w:ascii="Century Gothic" w:hAnsi="Century Gothic"/>
          <w:b/>
          <w:bCs/>
          <w:sz w:val="22"/>
          <w:szCs w:val="22"/>
          <w:lang w:val="fr-FR"/>
        </w:rPr>
        <w:t>Ces travaux</w:t>
      </w:r>
      <w:r>
        <w:rPr>
          <w:rFonts w:ascii="Century Gothic" w:hAnsi="Century Gothic"/>
          <w:b/>
          <w:bCs/>
          <w:sz w:val="22"/>
          <w:szCs w:val="22"/>
          <w:lang w:val="fr-FR"/>
        </w:rPr>
        <w:t xml:space="preserve"> modifieront les conditions de circulation habituelles. Un itinéraire de déviation sera mis en place.</w:t>
      </w:r>
    </w:p>
    <w:p w14:paraId="2A1E0B2D" w14:textId="77777777" w:rsidR="00466BCB" w:rsidRPr="00B20CC7" w:rsidRDefault="00466BCB" w:rsidP="00466BCB">
      <w:pPr>
        <w:pStyle w:val="Sansinterligne"/>
        <w:ind w:left="708"/>
        <w:rPr>
          <w:rFonts w:ascii="Century Gothic" w:hAnsi="Century Gothic" w:cstheme="minorBidi"/>
          <w:sz w:val="22"/>
          <w:szCs w:val="22"/>
        </w:rPr>
      </w:pPr>
    </w:p>
    <w:p w14:paraId="52C401F7" w14:textId="232A9CC8" w:rsidR="00466BCB" w:rsidRDefault="00466BCB" w:rsidP="00466BCB">
      <w:pPr>
        <w:pStyle w:val="Sansinterligne"/>
        <w:rPr>
          <w:rFonts w:ascii="Century Gothic" w:hAnsi="Century Gothic"/>
          <w:noProof/>
          <w:sz w:val="22"/>
          <w:szCs w:val="22"/>
          <w:lang w:val="fr-FR"/>
        </w:rPr>
      </w:pPr>
      <w:r>
        <w:rPr>
          <w:rFonts w:ascii="Century Gothic" w:hAnsi="Century Gothic"/>
          <w:noProof/>
          <w:sz w:val="22"/>
          <w:szCs w:val="22"/>
          <w:lang w:val="fr-FR"/>
        </w:rPr>
        <w:t>Les travaux vont consister à rehabiliter le revêtement de la voirie du contournement d’Etalle entre les bornes kilométriques 16.7 et 17.9</w:t>
      </w:r>
      <w:r w:rsidR="006927DE">
        <w:rPr>
          <w:rFonts w:ascii="Century Gothic" w:hAnsi="Century Gothic"/>
          <w:noProof/>
          <w:sz w:val="22"/>
          <w:szCs w:val="22"/>
          <w:lang w:val="fr-FR"/>
        </w:rPr>
        <w:t xml:space="preserve"> (zone en rouge)</w:t>
      </w:r>
      <w:r>
        <w:rPr>
          <w:rFonts w:ascii="Century Gothic" w:hAnsi="Century Gothic"/>
          <w:noProof/>
          <w:sz w:val="22"/>
          <w:szCs w:val="22"/>
          <w:lang w:val="fr-FR"/>
        </w:rPr>
        <w:t xml:space="preserve">.  </w:t>
      </w:r>
    </w:p>
    <w:p w14:paraId="010B7000" w14:textId="77777777" w:rsidR="001B19FB" w:rsidRDefault="001B19FB" w:rsidP="00466BCB">
      <w:pPr>
        <w:pStyle w:val="Sansinterligne"/>
        <w:rPr>
          <w:rFonts w:ascii="Century Gothic" w:hAnsi="Century Gothic"/>
          <w:noProof/>
          <w:sz w:val="22"/>
          <w:szCs w:val="22"/>
          <w:lang w:val="fr-FR"/>
        </w:rPr>
      </w:pPr>
    </w:p>
    <w:p w14:paraId="448C4210" w14:textId="218CCAE1" w:rsidR="00466BCB" w:rsidRDefault="001B19FB" w:rsidP="00466BCB">
      <w:pPr>
        <w:pStyle w:val="Sansinterligne"/>
        <w:rPr>
          <w:rFonts w:ascii="Century Gothic" w:hAnsi="Century Gothic"/>
          <w:noProof/>
          <w:sz w:val="22"/>
          <w:szCs w:val="22"/>
          <w:lang w:val="fr-FR"/>
        </w:rPr>
      </w:pPr>
      <w:r w:rsidRPr="001B19FB">
        <w:rPr>
          <w:rFonts w:ascii="Century Gothic" w:hAnsi="Century Gothic"/>
          <w:noProof/>
          <w:sz w:val="22"/>
          <w:szCs w:val="22"/>
          <w:lang w:val="fr-FR"/>
        </w:rPr>
        <w:drawing>
          <wp:inline distT="0" distB="0" distL="0" distR="0" wp14:anchorId="314FCB1E" wp14:editId="5D300C46">
            <wp:extent cx="4816257" cy="3817951"/>
            <wp:effectExtent l="0" t="0" r="381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16257" cy="3817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4038C" w14:textId="77777777" w:rsidR="001B19FB" w:rsidRDefault="001B19FB" w:rsidP="00466BCB">
      <w:pPr>
        <w:pStyle w:val="Sansinterligne"/>
        <w:rPr>
          <w:rFonts w:ascii="Century Gothic" w:hAnsi="Century Gothic"/>
          <w:noProof/>
          <w:sz w:val="22"/>
          <w:szCs w:val="22"/>
          <w:lang w:val="fr-FR"/>
        </w:rPr>
      </w:pPr>
    </w:p>
    <w:p w14:paraId="0C5917FB" w14:textId="77777777" w:rsidR="00466BCB" w:rsidRDefault="00466BCB" w:rsidP="00466BCB">
      <w:pPr>
        <w:pStyle w:val="Sansinterligne"/>
        <w:rPr>
          <w:rFonts w:ascii="Century Gothic" w:hAnsi="Century Gothic"/>
          <w:noProof/>
          <w:sz w:val="22"/>
          <w:szCs w:val="22"/>
          <w:lang w:val="fr-FR"/>
        </w:rPr>
      </w:pPr>
      <w:r>
        <w:rPr>
          <w:rFonts w:ascii="Century Gothic" w:hAnsi="Century Gothic"/>
          <w:noProof/>
          <w:sz w:val="22"/>
          <w:szCs w:val="22"/>
          <w:lang w:val="fr-FR"/>
        </w:rPr>
        <w:t xml:space="preserve">Ce chantier sera réalisé en deux phases : </w:t>
      </w:r>
    </w:p>
    <w:p w14:paraId="1D7618C3" w14:textId="618B091C" w:rsidR="00466BCB" w:rsidRDefault="00466BCB" w:rsidP="00466BCB">
      <w:pPr>
        <w:pStyle w:val="Sansinterligne"/>
        <w:numPr>
          <w:ilvl w:val="0"/>
          <w:numId w:val="2"/>
        </w:numPr>
        <w:rPr>
          <w:rFonts w:ascii="Century Gothic" w:hAnsi="Century Gothic"/>
          <w:noProof/>
          <w:sz w:val="22"/>
          <w:szCs w:val="22"/>
          <w:lang w:val="fr-FR"/>
        </w:rPr>
      </w:pPr>
      <w:r>
        <w:rPr>
          <w:rFonts w:ascii="Century Gothic" w:hAnsi="Century Gothic"/>
          <w:noProof/>
          <w:sz w:val="22"/>
          <w:szCs w:val="22"/>
          <w:lang w:val="fr-FR"/>
        </w:rPr>
        <w:t>raclage de l’ancienne couche de tarmac ;</w:t>
      </w:r>
    </w:p>
    <w:p w14:paraId="53CF37C7" w14:textId="6B48AC96" w:rsidR="00466BCB" w:rsidRDefault="00466BCB" w:rsidP="00466BCB">
      <w:pPr>
        <w:pStyle w:val="Sansinterligne"/>
        <w:numPr>
          <w:ilvl w:val="0"/>
          <w:numId w:val="2"/>
        </w:numPr>
        <w:rPr>
          <w:rFonts w:ascii="Century Gothic" w:hAnsi="Century Gothic"/>
          <w:noProof/>
          <w:sz w:val="22"/>
          <w:szCs w:val="22"/>
          <w:lang w:val="fr-FR"/>
        </w:rPr>
      </w:pPr>
      <w:r>
        <w:rPr>
          <w:rFonts w:ascii="Century Gothic" w:hAnsi="Century Gothic"/>
          <w:noProof/>
          <w:sz w:val="22"/>
          <w:szCs w:val="22"/>
          <w:lang w:val="fr-FR"/>
        </w:rPr>
        <w:t xml:space="preserve">pose du nouveau revêtement hydrocarboné. </w:t>
      </w:r>
    </w:p>
    <w:p w14:paraId="7637F7B9" w14:textId="77777777" w:rsidR="005835A1" w:rsidRDefault="005835A1" w:rsidP="00466BCB">
      <w:pPr>
        <w:jc w:val="both"/>
      </w:pPr>
    </w:p>
    <w:p w14:paraId="30BD29E7" w14:textId="3423AB6E" w:rsidR="00D15C83" w:rsidRDefault="00466BCB" w:rsidP="00466BCB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 partir du 2</w:t>
      </w:r>
      <w:r w:rsidR="007C5BE4">
        <w:rPr>
          <w:rFonts w:ascii="Century Gothic" w:hAnsi="Century Gothic"/>
        </w:rPr>
        <w:t>4</w:t>
      </w:r>
      <w:r>
        <w:rPr>
          <w:rFonts w:ascii="Century Gothic" w:hAnsi="Century Gothic"/>
        </w:rPr>
        <w:t xml:space="preserve"> avril et pendant la durée du chantier, cette portion de la N87 sera complètement fermée à toute la circulation.</w:t>
      </w:r>
    </w:p>
    <w:p w14:paraId="2462381A" w14:textId="74A8BDCC" w:rsidR="00D15C83" w:rsidRDefault="00D15C83" w:rsidP="00466BCB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Les usagers venant de Virton devront traverser le village d’</w:t>
      </w:r>
      <w:proofErr w:type="spellStart"/>
      <w:r>
        <w:rPr>
          <w:rFonts w:ascii="Century Gothic" w:hAnsi="Century Gothic"/>
        </w:rPr>
        <w:t>Etalle</w:t>
      </w:r>
      <w:proofErr w:type="spellEnd"/>
      <w:r>
        <w:rPr>
          <w:rFonts w:ascii="Century Gothic" w:hAnsi="Century Gothic"/>
        </w:rPr>
        <w:t xml:space="preserve"> pour rejoindre la E411 et inversement. Veuillez trouver ci-dessous le plan de déviation qui sera mis en place.</w:t>
      </w:r>
    </w:p>
    <w:p w14:paraId="40455601" w14:textId="3E2F2A96" w:rsidR="001B19FB" w:rsidRDefault="001B19FB" w:rsidP="00466BCB">
      <w:pPr>
        <w:jc w:val="both"/>
        <w:rPr>
          <w:rFonts w:ascii="Century Gothic" w:hAnsi="Century Gothic"/>
        </w:rPr>
      </w:pPr>
      <w:r w:rsidRPr="001B19FB">
        <w:rPr>
          <w:rFonts w:ascii="Century Gothic" w:hAnsi="Century Gothic"/>
          <w:noProof/>
        </w:rPr>
        <w:drawing>
          <wp:inline distT="0" distB="0" distL="0" distR="0" wp14:anchorId="328182B3" wp14:editId="241FD26B">
            <wp:extent cx="5760720" cy="442722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2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5EE00" w14:textId="30702099" w:rsidR="00466BCB" w:rsidRPr="001427F1" w:rsidRDefault="00466BCB" w:rsidP="00466BCB">
      <w:pPr>
        <w:pStyle w:val="Sansinterligne"/>
        <w:rPr>
          <w:rFonts w:ascii="Century Gothic" w:hAnsi="Century Gothic"/>
          <w:color w:val="000000"/>
          <w:sz w:val="22"/>
          <w:szCs w:val="22"/>
        </w:rPr>
      </w:pPr>
      <w:r w:rsidRPr="001427F1">
        <w:rPr>
          <w:rFonts w:ascii="Century Gothic" w:hAnsi="Century Gothic"/>
          <w:sz w:val="22"/>
          <w:szCs w:val="22"/>
          <w:lang w:val="fr-FR"/>
        </w:rPr>
        <w:t>Ce chantier représente un budget d</w:t>
      </w:r>
      <w:r>
        <w:rPr>
          <w:rFonts w:ascii="Century Gothic" w:hAnsi="Century Gothic"/>
          <w:sz w:val="22"/>
          <w:szCs w:val="22"/>
          <w:lang w:val="fr-FR"/>
        </w:rPr>
        <w:t>’environ 295.000</w:t>
      </w:r>
      <w:r w:rsidRPr="001427F1">
        <w:rPr>
          <w:rFonts w:ascii="Century Gothic" w:hAnsi="Century Gothic"/>
          <w:b/>
          <w:bCs/>
          <w:sz w:val="22"/>
          <w:szCs w:val="22"/>
          <w:lang w:val="fr-FR"/>
        </w:rPr>
        <w:t xml:space="preserve"> </w:t>
      </w:r>
      <w:r w:rsidRPr="009922B9">
        <w:rPr>
          <w:rFonts w:ascii="Century Gothic" w:hAnsi="Century Gothic"/>
          <w:sz w:val="22"/>
          <w:szCs w:val="22"/>
          <w:lang w:val="fr-FR"/>
        </w:rPr>
        <w:t>€ TVAC</w:t>
      </w:r>
      <w:r w:rsidRPr="001427F1">
        <w:rPr>
          <w:rFonts w:ascii="Century Gothic" w:hAnsi="Century Gothic"/>
          <w:sz w:val="22"/>
          <w:szCs w:val="22"/>
          <w:lang w:val="fr-FR"/>
        </w:rPr>
        <w:t xml:space="preserve"> financé par la Wallonie. Les travaux sont dirigés par le</w:t>
      </w:r>
      <w:r w:rsidRPr="001427F1">
        <w:rPr>
          <w:rFonts w:ascii="Century Gothic" w:hAnsi="Century Gothic"/>
          <w:color w:val="000000"/>
          <w:sz w:val="22"/>
          <w:szCs w:val="22"/>
          <w:lang w:val="fr-FR"/>
        </w:rPr>
        <w:t xml:space="preserve"> Service Public de Wallonie Mobilité et Infrastructures (SPW MI) et</w:t>
      </w:r>
      <w:r w:rsidRPr="001427F1">
        <w:rPr>
          <w:rFonts w:ascii="Century Gothic" w:hAnsi="Century Gothic"/>
          <w:color w:val="000000"/>
          <w:sz w:val="22"/>
          <w:szCs w:val="22"/>
        </w:rPr>
        <w:t xml:space="preserve"> la société </w:t>
      </w:r>
      <w:r>
        <w:rPr>
          <w:rFonts w:ascii="Century Gothic" w:hAnsi="Century Gothic"/>
          <w:color w:val="000000"/>
          <w:sz w:val="22"/>
          <w:szCs w:val="22"/>
        </w:rPr>
        <w:t xml:space="preserve">Colas </w:t>
      </w:r>
      <w:r w:rsidRPr="001427F1">
        <w:rPr>
          <w:rFonts w:ascii="Century Gothic" w:hAnsi="Century Gothic"/>
          <w:color w:val="000000"/>
          <w:sz w:val="22"/>
          <w:szCs w:val="22"/>
        </w:rPr>
        <w:t>a été désignée par marché public pour l’exécution de ces travaux.</w:t>
      </w:r>
    </w:p>
    <w:p w14:paraId="42B84580" w14:textId="77777777" w:rsidR="00466BCB" w:rsidRPr="001427F1" w:rsidRDefault="00466BCB" w:rsidP="00466BCB">
      <w:pPr>
        <w:pStyle w:val="Sansinterligne"/>
        <w:rPr>
          <w:rFonts w:ascii="Century Gothic" w:hAnsi="Century Gothic"/>
          <w:color w:val="000000"/>
          <w:sz w:val="22"/>
          <w:szCs w:val="22"/>
        </w:rPr>
      </w:pPr>
    </w:p>
    <w:p w14:paraId="324F0EA0" w14:textId="51B8DEA3" w:rsidR="00466BCB" w:rsidRPr="00144EEA" w:rsidRDefault="00466BCB" w:rsidP="00466BCB">
      <w:pPr>
        <w:jc w:val="both"/>
        <w:rPr>
          <w:rFonts w:ascii="Century Gothic" w:eastAsia="Calibri" w:hAnsi="Century Gothic"/>
          <w:bCs/>
        </w:rPr>
      </w:pPr>
      <w:r>
        <w:rPr>
          <w:rFonts w:ascii="Century Gothic" w:hAnsi="Century Gothic"/>
        </w:rPr>
        <w:t>Ces aménagements</w:t>
      </w:r>
      <w:r w:rsidRPr="001427F1">
        <w:rPr>
          <w:rFonts w:ascii="Century Gothic" w:hAnsi="Century Gothic"/>
        </w:rPr>
        <w:t xml:space="preserve"> devraient être terminés pour la </w:t>
      </w:r>
      <w:r>
        <w:rPr>
          <w:rFonts w:ascii="Century Gothic" w:hAnsi="Century Gothic"/>
        </w:rPr>
        <w:t>fin du mois d’avril</w:t>
      </w:r>
      <w:r w:rsidRPr="001427F1">
        <w:rPr>
          <w:rFonts w:ascii="Century Gothic" w:hAnsi="Century Gothic"/>
        </w:rPr>
        <w:t xml:space="preserve">, </w:t>
      </w:r>
      <w:r>
        <w:rPr>
          <w:rFonts w:ascii="Century Gothic" w:eastAsia="Calibri" w:hAnsi="Century Gothic"/>
          <w:bCs/>
        </w:rPr>
        <w:t>sous réserve des éventuels aléas de chantier.</w:t>
      </w:r>
    </w:p>
    <w:p w14:paraId="1DF0E2C6" w14:textId="77777777" w:rsidR="00466BCB" w:rsidRPr="00CC715E" w:rsidRDefault="00466BCB" w:rsidP="00466BCB">
      <w:pPr>
        <w:pStyle w:val="Sansinterligne"/>
        <w:rPr>
          <w:rFonts w:ascii="Century Gothic" w:hAnsi="Century Gothic"/>
          <w:color w:val="00999E"/>
          <w:sz w:val="16"/>
          <w:szCs w:val="16"/>
        </w:rPr>
      </w:pPr>
      <w:r w:rsidRPr="00CC715E">
        <w:rPr>
          <w:rFonts w:ascii="Century Gothic" w:hAnsi="Century Gothic"/>
          <w:color w:val="00999E"/>
          <w:sz w:val="16"/>
          <w:szCs w:val="16"/>
        </w:rPr>
        <w:t xml:space="preserve">Contact médias : </w:t>
      </w:r>
    </w:p>
    <w:p w14:paraId="3D3886D1" w14:textId="77777777" w:rsidR="00466BCB" w:rsidRDefault="00466BCB" w:rsidP="00466BCB">
      <w:pPr>
        <w:pStyle w:val="Sansinterligne"/>
        <w:rPr>
          <w:rFonts w:ascii="Century Gothic" w:hAnsi="Century Gothic"/>
          <w:color w:val="00999E"/>
          <w:sz w:val="16"/>
          <w:szCs w:val="16"/>
        </w:rPr>
      </w:pPr>
    </w:p>
    <w:p w14:paraId="3C98E54E" w14:textId="77777777" w:rsidR="00466BCB" w:rsidRPr="00E926EC" w:rsidRDefault="00466BCB" w:rsidP="00466BCB">
      <w:pPr>
        <w:pStyle w:val="Sansinterligne"/>
        <w:rPr>
          <w:rFonts w:ascii="Century Gothic" w:hAnsi="Century Gothic"/>
          <w:color w:val="00999E"/>
          <w:sz w:val="16"/>
          <w:szCs w:val="16"/>
        </w:rPr>
      </w:pPr>
      <w:r w:rsidRPr="00CC715E">
        <w:rPr>
          <w:rFonts w:ascii="Century Gothic" w:hAnsi="Century Gothic"/>
          <w:color w:val="00999E"/>
          <w:sz w:val="16"/>
          <w:szCs w:val="16"/>
        </w:rPr>
        <w:t>Sarah PIERRE | Porte-parole du SPW Mobilité et Infrastructures | +32 47</w:t>
      </w:r>
      <w:r>
        <w:rPr>
          <w:rFonts w:ascii="Century Gothic" w:hAnsi="Century Gothic"/>
          <w:color w:val="00999E"/>
          <w:sz w:val="16"/>
          <w:szCs w:val="16"/>
        </w:rPr>
        <w:t xml:space="preserve">9 865 896 </w:t>
      </w:r>
      <w:r w:rsidRPr="0047212D">
        <w:rPr>
          <w:rFonts w:ascii="Century Gothic" w:hAnsi="Century Gothic"/>
          <w:b/>
          <w:bCs/>
          <w:color w:val="00999E"/>
          <w:sz w:val="16"/>
          <w:szCs w:val="16"/>
        </w:rPr>
        <w:t>|</w:t>
      </w:r>
      <w:hyperlink r:id="rId8" w:history="1">
        <w:r w:rsidRPr="002B6CF7">
          <w:rPr>
            <w:rStyle w:val="Lienhypertexte"/>
            <w:rFonts w:ascii="Century Gothic" w:hAnsi="Century Gothic"/>
            <w:sz w:val="16"/>
            <w:szCs w:val="16"/>
          </w:rPr>
          <w:t>sarah.pierre@spw.wallonie.be</w:t>
        </w:r>
      </w:hyperlink>
    </w:p>
    <w:p w14:paraId="5FCDE16F" w14:textId="77777777" w:rsidR="00F459B0" w:rsidRDefault="00F459B0"/>
    <w:sectPr w:rsidR="00F459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3645AA"/>
    <w:multiLevelType w:val="hybridMultilevel"/>
    <w:tmpl w:val="AEC8D02E"/>
    <w:lvl w:ilvl="0" w:tplc="3AE607FC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C52692"/>
    <w:multiLevelType w:val="hybridMultilevel"/>
    <w:tmpl w:val="4BFEB354"/>
    <w:lvl w:ilvl="0" w:tplc="ED5C954E">
      <w:start w:val="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275134">
    <w:abstractNumId w:val="1"/>
  </w:num>
  <w:num w:numId="2" w16cid:durableId="21163168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6BCB"/>
    <w:rsid w:val="001B19FB"/>
    <w:rsid w:val="00466BCB"/>
    <w:rsid w:val="005835A1"/>
    <w:rsid w:val="006927DE"/>
    <w:rsid w:val="007C5BE4"/>
    <w:rsid w:val="00D15C83"/>
    <w:rsid w:val="00E64B87"/>
    <w:rsid w:val="00F45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556205"/>
  <w15:chartTrackingRefBased/>
  <w15:docId w15:val="{619ED2F3-CB05-41E9-9380-CCBC52299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6BC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wordsection1">
    <w:name w:val="wordsection1"/>
    <w:basedOn w:val="Normal"/>
    <w:rsid w:val="00466BCB"/>
    <w:pPr>
      <w:suppressAutoHyphens/>
      <w:autoSpaceDN w:val="0"/>
      <w:spacing w:before="100" w:after="100" w:line="240" w:lineRule="auto"/>
      <w:textAlignment w:val="baseline"/>
    </w:pPr>
    <w:rPr>
      <w:rFonts w:ascii="Times New Roman" w:eastAsia="Calibri" w:hAnsi="Times New Roman" w:cs="Times New Roman"/>
      <w:sz w:val="24"/>
      <w:szCs w:val="24"/>
      <w:lang w:eastAsia="fr-FR"/>
    </w:rPr>
  </w:style>
  <w:style w:type="paragraph" w:styleId="Sansinterligne">
    <w:name w:val="No Spacing"/>
    <w:aliases w:val="Communiqué de presse,Note CA"/>
    <w:basedOn w:val="Normal"/>
    <w:uiPriority w:val="1"/>
    <w:qFormat/>
    <w:rsid w:val="00466BCB"/>
    <w:pPr>
      <w:spacing w:after="0" w:line="276" w:lineRule="auto"/>
      <w:jc w:val="both"/>
    </w:pPr>
    <w:rPr>
      <w:rFonts w:ascii="Verdana" w:hAnsi="Verdana" w:cs="Times New Roman"/>
      <w:sz w:val="24"/>
      <w:szCs w:val="24"/>
    </w:rPr>
  </w:style>
  <w:style w:type="character" w:styleId="Lienhypertexte">
    <w:name w:val="Hyperlink"/>
    <w:basedOn w:val="Policepardfaut"/>
    <w:unhideWhenUsed/>
    <w:rsid w:val="00466BC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rah.pierre@spw.wallonie.b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222</Words>
  <Characters>1224</Characters>
  <Application>Microsoft Office Word</Application>
  <DocSecurity>0</DocSecurity>
  <Lines>10</Lines>
  <Paragraphs>2</Paragraphs>
  <ScaleCrop>false</ScaleCrop>
  <Company/>
  <LinksUpToDate>false</LinksUpToDate>
  <CharactersWithSpaces>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</dc:creator>
  <cp:keywords/>
  <dc:description/>
  <cp:lastModifiedBy>HANSEN Jean-Paul</cp:lastModifiedBy>
  <cp:revision>6</cp:revision>
  <dcterms:created xsi:type="dcterms:W3CDTF">2024-04-16T15:45:00Z</dcterms:created>
  <dcterms:modified xsi:type="dcterms:W3CDTF">2024-04-18T14:57:00Z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7a477d1-147d-4e34-b5e3-7b26d2f44870_Enabled">
    <vt:lpwstr>true</vt:lpwstr>
  </property>
  <property fmtid="{D5CDD505-2E9C-101B-9397-08002B2CF9AE}" pid="3" name="MSIP_Label_97a477d1-147d-4e34-b5e3-7b26d2f44870_SetDate">
    <vt:lpwstr>2024-04-15T11:17:33Z</vt:lpwstr>
  </property>
  <property fmtid="{D5CDD505-2E9C-101B-9397-08002B2CF9AE}" pid="4" name="MSIP_Label_97a477d1-147d-4e34-b5e3-7b26d2f44870_Method">
    <vt:lpwstr>Standard</vt:lpwstr>
  </property>
  <property fmtid="{D5CDD505-2E9C-101B-9397-08002B2CF9AE}" pid="5" name="MSIP_Label_97a477d1-147d-4e34-b5e3-7b26d2f44870_Name">
    <vt:lpwstr>97a477d1-147d-4e34-b5e3-7b26d2f44870</vt:lpwstr>
  </property>
  <property fmtid="{D5CDD505-2E9C-101B-9397-08002B2CF9AE}" pid="6" name="MSIP_Label_97a477d1-147d-4e34-b5e3-7b26d2f44870_SiteId">
    <vt:lpwstr>1f816a84-7aa6-4a56-b22a-7b3452fa8681</vt:lpwstr>
  </property>
  <property fmtid="{D5CDD505-2E9C-101B-9397-08002B2CF9AE}" pid="7" name="MSIP_Label_97a477d1-147d-4e34-b5e3-7b26d2f44870_ActionId">
    <vt:lpwstr>e2ca47e0-599b-41fb-845f-aa1b98ac5347</vt:lpwstr>
  </property>
  <property fmtid="{D5CDD505-2E9C-101B-9397-08002B2CF9AE}" pid="8" name="MSIP_Label_97a477d1-147d-4e34-b5e3-7b26d2f44870_ContentBits">
    <vt:lpwstr>0</vt:lpwstr>
  </property>
</Properties>
</file>