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D522" w14:textId="77777777" w:rsidR="000321BF" w:rsidRDefault="00E1140F">
      <w:pPr>
        <w:pStyle w:val="Corpsdetexte"/>
        <w:spacing w:before="72"/>
        <w:ind w:left="1045"/>
      </w:pPr>
      <w:r>
        <w:t>Conditions de sécurité lors de la détention, du transport d'armes à feu, de munitions ou de chargeurs</w:t>
      </w:r>
    </w:p>
    <w:p w14:paraId="3C3049D3" w14:textId="77777777" w:rsidR="000321BF" w:rsidRDefault="000321BF">
      <w:pPr>
        <w:spacing w:before="1"/>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16"/>
      </w:tblGrid>
      <w:tr w:rsidR="000321BF" w14:paraId="359329EF" w14:textId="77777777">
        <w:trPr>
          <w:trHeight w:val="1739"/>
        </w:trPr>
        <w:tc>
          <w:tcPr>
            <w:tcW w:w="15616" w:type="dxa"/>
          </w:tcPr>
          <w:p w14:paraId="238D00A4" w14:textId="77777777" w:rsidR="000321BF" w:rsidRDefault="00E1140F">
            <w:pPr>
              <w:pStyle w:val="TableParagraph"/>
              <w:spacing w:before="51"/>
              <w:rPr>
                <w:sz w:val="24"/>
              </w:rPr>
            </w:pPr>
            <w:r>
              <w:rPr>
                <w:sz w:val="24"/>
              </w:rPr>
              <w:t xml:space="preserve">Les </w:t>
            </w:r>
            <w:r>
              <w:rPr>
                <w:b/>
                <w:sz w:val="24"/>
              </w:rPr>
              <w:t xml:space="preserve">mesures de sécurité </w:t>
            </w:r>
            <w:r>
              <w:rPr>
                <w:sz w:val="24"/>
              </w:rPr>
              <w:t>suivantes sont prises dans tous les cas :</w:t>
            </w:r>
          </w:p>
          <w:p w14:paraId="735E5703" w14:textId="77777777" w:rsidR="000321BF" w:rsidRDefault="00E1140F">
            <w:pPr>
              <w:pStyle w:val="TableParagraph"/>
              <w:spacing w:line="292" w:lineRule="auto"/>
              <w:ind w:right="4397"/>
              <w:rPr>
                <w:sz w:val="24"/>
              </w:rPr>
            </w:pPr>
            <w:r>
              <w:rPr>
                <w:sz w:val="24"/>
              </w:rPr>
              <w:t>1° les armes sont non chargées (excepté si c’est la défense personnelle qui a été invoquée comme motif légitime); 2° les armes et les munitions sont constamment hors de portée d'enfants;</w:t>
            </w:r>
          </w:p>
          <w:p w14:paraId="053CFA37" w14:textId="77777777" w:rsidR="000321BF" w:rsidRDefault="00E1140F">
            <w:pPr>
              <w:pStyle w:val="TableParagraph"/>
              <w:spacing w:before="0" w:line="275" w:lineRule="exact"/>
              <w:rPr>
                <w:sz w:val="24"/>
              </w:rPr>
            </w:pPr>
            <w:r>
              <w:rPr>
                <w:sz w:val="24"/>
              </w:rPr>
              <w:t>3° les armes et les munitions ne sont pas immédiatement accessibles ensemble;</w:t>
            </w:r>
          </w:p>
          <w:p w14:paraId="0F57C7A8" w14:textId="77777777" w:rsidR="000321BF" w:rsidRDefault="00E1140F">
            <w:pPr>
              <w:pStyle w:val="TableParagraph"/>
              <w:rPr>
                <w:sz w:val="24"/>
              </w:rPr>
            </w:pPr>
            <w:r>
              <w:rPr>
                <w:sz w:val="24"/>
              </w:rPr>
              <w:t>4° les armes et les munitions sont conservées à un endroit qui ne porte aucune marque extérieure pouvant indiquer qu'une arme ou des munitions s'y trouvent.</w:t>
            </w:r>
          </w:p>
        </w:tc>
      </w:tr>
      <w:tr w:rsidR="000321BF" w14:paraId="6A0A7715" w14:textId="77777777">
        <w:trPr>
          <w:trHeight w:val="1406"/>
        </w:trPr>
        <w:tc>
          <w:tcPr>
            <w:tcW w:w="15616" w:type="dxa"/>
          </w:tcPr>
          <w:p w14:paraId="69BC8E9D" w14:textId="77777777" w:rsidR="000321BF" w:rsidRDefault="00E1140F">
            <w:pPr>
              <w:pStyle w:val="TableParagraph"/>
              <w:spacing w:before="54" w:line="292" w:lineRule="auto"/>
              <w:ind w:right="3661"/>
              <w:rPr>
                <w:sz w:val="24"/>
              </w:rPr>
            </w:pPr>
            <w:r>
              <w:rPr>
                <w:sz w:val="24"/>
              </w:rPr>
              <w:t xml:space="preserve">Les particuliers qui stockent </w:t>
            </w:r>
            <w:r>
              <w:rPr>
                <w:b/>
                <w:sz w:val="24"/>
              </w:rPr>
              <w:t xml:space="preserve">1 à 5 armes </w:t>
            </w:r>
            <w:r>
              <w:rPr>
                <w:sz w:val="24"/>
              </w:rPr>
              <w:t xml:space="preserve">soumises à autorisation prennent au moins </w:t>
            </w:r>
            <w:r>
              <w:rPr>
                <w:sz w:val="24"/>
                <w:u w:val="single"/>
              </w:rPr>
              <w:t>une</w:t>
            </w:r>
            <w:r>
              <w:rPr>
                <w:sz w:val="24"/>
              </w:rPr>
              <w:t xml:space="preserve"> des mesures de sécurité suivantes: 1° installer un dispositif de verrouillage de sécurité;</w:t>
            </w:r>
          </w:p>
          <w:p w14:paraId="01B8003F" w14:textId="77777777" w:rsidR="000321BF" w:rsidRDefault="00E1140F">
            <w:pPr>
              <w:pStyle w:val="TableParagraph"/>
              <w:spacing w:before="0" w:line="275" w:lineRule="exact"/>
              <w:rPr>
                <w:sz w:val="24"/>
              </w:rPr>
            </w:pPr>
            <w:r>
              <w:rPr>
                <w:sz w:val="24"/>
              </w:rPr>
              <w:t>2° l'enlèvement et la conservation séparée d'une pièce essentielle au fonctionnement de l'arme;</w:t>
            </w:r>
          </w:p>
          <w:p w14:paraId="0AEE10E2" w14:textId="77777777" w:rsidR="000321BF" w:rsidRDefault="00E1140F">
            <w:pPr>
              <w:pStyle w:val="TableParagraph"/>
              <w:rPr>
                <w:sz w:val="24"/>
              </w:rPr>
            </w:pPr>
            <w:r>
              <w:rPr>
                <w:sz w:val="24"/>
              </w:rPr>
              <w:t>3° la fixation de l'arme à un point fixe avec une chaîne.</w:t>
            </w:r>
          </w:p>
        </w:tc>
      </w:tr>
      <w:tr w:rsidR="000321BF" w14:paraId="5AAF8A74" w14:textId="77777777">
        <w:trPr>
          <w:trHeight w:val="1403"/>
        </w:trPr>
        <w:tc>
          <w:tcPr>
            <w:tcW w:w="15616" w:type="dxa"/>
          </w:tcPr>
          <w:p w14:paraId="2E874E51" w14:textId="77777777" w:rsidR="000321BF" w:rsidRDefault="00E1140F">
            <w:pPr>
              <w:pStyle w:val="TableParagraph"/>
              <w:spacing w:before="51"/>
              <w:rPr>
                <w:sz w:val="24"/>
              </w:rPr>
            </w:pPr>
            <w:r>
              <w:rPr>
                <w:sz w:val="24"/>
              </w:rPr>
              <w:t xml:space="preserve">Les particuliers qui stockent </w:t>
            </w:r>
            <w:r>
              <w:rPr>
                <w:b/>
                <w:sz w:val="24"/>
              </w:rPr>
              <w:t xml:space="preserve">6 à 10 armes </w:t>
            </w:r>
            <w:r>
              <w:rPr>
                <w:sz w:val="24"/>
              </w:rPr>
              <w:t>soumises à autorisation les conservent dans une armoire</w:t>
            </w:r>
          </w:p>
          <w:p w14:paraId="17D440FC" w14:textId="77777777" w:rsidR="000321BF" w:rsidRDefault="00E1140F">
            <w:pPr>
              <w:pStyle w:val="TableParagraph"/>
              <w:numPr>
                <w:ilvl w:val="0"/>
                <w:numId w:val="2"/>
              </w:numPr>
              <w:tabs>
                <w:tab w:val="left" w:pos="467"/>
                <w:tab w:val="left" w:pos="468"/>
              </w:tabs>
              <w:ind w:hanging="361"/>
              <w:rPr>
                <w:sz w:val="24"/>
              </w:rPr>
            </w:pPr>
            <w:r>
              <w:rPr>
                <w:sz w:val="24"/>
              </w:rPr>
              <w:t>verrouillée et construite dans un matériau solide,</w:t>
            </w:r>
          </w:p>
          <w:p w14:paraId="44CDC8EE" w14:textId="77777777" w:rsidR="000321BF" w:rsidRDefault="00E1140F">
            <w:pPr>
              <w:pStyle w:val="TableParagraph"/>
              <w:numPr>
                <w:ilvl w:val="0"/>
                <w:numId w:val="2"/>
              </w:numPr>
              <w:tabs>
                <w:tab w:val="left" w:pos="467"/>
                <w:tab w:val="left" w:pos="468"/>
              </w:tabs>
              <w:ind w:hanging="361"/>
              <w:rPr>
                <w:sz w:val="24"/>
              </w:rPr>
            </w:pPr>
            <w:r>
              <w:rPr>
                <w:sz w:val="24"/>
              </w:rPr>
              <w:t>qu'on ne peut forcer facilement</w:t>
            </w:r>
            <w:r>
              <w:rPr>
                <w:spacing w:val="-1"/>
                <w:sz w:val="24"/>
              </w:rPr>
              <w:t xml:space="preserve"> </w:t>
            </w:r>
            <w:r>
              <w:rPr>
                <w:sz w:val="24"/>
              </w:rPr>
              <w:t>et</w:t>
            </w:r>
          </w:p>
          <w:p w14:paraId="25A233F2" w14:textId="77777777" w:rsidR="000321BF" w:rsidRDefault="00E1140F">
            <w:pPr>
              <w:pStyle w:val="TableParagraph"/>
              <w:numPr>
                <w:ilvl w:val="0"/>
                <w:numId w:val="2"/>
              </w:numPr>
              <w:tabs>
                <w:tab w:val="left" w:pos="467"/>
                <w:tab w:val="left" w:pos="468"/>
              </w:tabs>
              <w:spacing w:before="61"/>
              <w:ind w:hanging="361"/>
              <w:rPr>
                <w:sz w:val="24"/>
              </w:rPr>
            </w:pPr>
            <w:r>
              <w:rPr>
                <w:sz w:val="24"/>
              </w:rPr>
              <w:t>qui ne porte aucune marque extérieure pouvant indiquer qu'elle contient une arme ou des</w:t>
            </w:r>
            <w:r>
              <w:rPr>
                <w:spacing w:val="-9"/>
                <w:sz w:val="24"/>
              </w:rPr>
              <w:t xml:space="preserve"> </w:t>
            </w:r>
            <w:r>
              <w:rPr>
                <w:sz w:val="24"/>
              </w:rPr>
              <w:t>munitions.</w:t>
            </w:r>
          </w:p>
        </w:tc>
      </w:tr>
      <w:tr w:rsidR="000321BF" w14:paraId="06ED7B86" w14:textId="77777777">
        <w:trPr>
          <w:trHeight w:val="1956"/>
        </w:trPr>
        <w:tc>
          <w:tcPr>
            <w:tcW w:w="15616" w:type="dxa"/>
          </w:tcPr>
          <w:p w14:paraId="1B5F5F2E" w14:textId="77777777" w:rsidR="000321BF" w:rsidRDefault="00E1140F">
            <w:pPr>
              <w:pStyle w:val="TableParagraph"/>
              <w:spacing w:before="51"/>
              <w:rPr>
                <w:sz w:val="24"/>
              </w:rPr>
            </w:pPr>
            <w:r>
              <w:rPr>
                <w:sz w:val="24"/>
              </w:rPr>
              <w:t xml:space="preserve">Les particuliers qui stockent </w:t>
            </w:r>
            <w:r>
              <w:rPr>
                <w:b/>
                <w:sz w:val="24"/>
              </w:rPr>
              <w:t xml:space="preserve">11 à 30 armes </w:t>
            </w:r>
            <w:r>
              <w:rPr>
                <w:sz w:val="24"/>
              </w:rPr>
              <w:t>soumises à autorisation les conservent</w:t>
            </w:r>
          </w:p>
          <w:p w14:paraId="34D335CA" w14:textId="77777777" w:rsidR="000321BF" w:rsidRDefault="00E1140F">
            <w:pPr>
              <w:pStyle w:val="TableParagraph"/>
              <w:numPr>
                <w:ilvl w:val="0"/>
                <w:numId w:val="1"/>
              </w:numPr>
              <w:tabs>
                <w:tab w:val="left" w:pos="467"/>
                <w:tab w:val="left" w:pos="468"/>
              </w:tabs>
              <w:spacing w:before="61"/>
              <w:ind w:right="545"/>
              <w:rPr>
                <w:sz w:val="24"/>
              </w:rPr>
            </w:pPr>
            <w:r>
              <w:rPr>
                <w:sz w:val="24"/>
              </w:rPr>
              <w:t>dans un coffre à armes conçu à cette fin fermé par un mécanisme qui ne peut être ouvert qu'au moyen d'une clé électronique, magnétique ou</w:t>
            </w:r>
            <w:r>
              <w:rPr>
                <w:spacing w:val="-20"/>
                <w:sz w:val="24"/>
              </w:rPr>
              <w:t xml:space="preserve"> </w:t>
            </w:r>
            <w:r>
              <w:rPr>
                <w:sz w:val="24"/>
              </w:rPr>
              <w:t>mécanique, d'une combinaison alphabétique ou numérique ou d'une reconnaissance biométrique.</w:t>
            </w:r>
          </w:p>
          <w:p w14:paraId="25C34433" w14:textId="77777777" w:rsidR="000321BF" w:rsidRDefault="00E1140F">
            <w:pPr>
              <w:pStyle w:val="TableParagraph"/>
              <w:numPr>
                <w:ilvl w:val="0"/>
                <w:numId w:val="1"/>
              </w:numPr>
              <w:tabs>
                <w:tab w:val="left" w:pos="467"/>
                <w:tab w:val="left" w:pos="468"/>
              </w:tabs>
              <w:ind w:hanging="361"/>
              <w:rPr>
                <w:sz w:val="24"/>
              </w:rPr>
            </w:pPr>
            <w:r>
              <w:rPr>
                <w:sz w:val="24"/>
              </w:rPr>
              <w:t>Le coffre à armes et les munitions se trouvent dans un local dont tous les accès et fenêtres sont dûment fermés.</w:t>
            </w:r>
          </w:p>
          <w:p w14:paraId="4F1C2CBF" w14:textId="77777777" w:rsidR="000321BF" w:rsidRDefault="00E1140F">
            <w:pPr>
              <w:pStyle w:val="TableParagraph"/>
              <w:numPr>
                <w:ilvl w:val="0"/>
                <w:numId w:val="1"/>
              </w:numPr>
              <w:tabs>
                <w:tab w:val="left" w:pos="467"/>
                <w:tab w:val="left" w:pos="468"/>
              </w:tabs>
              <w:ind w:right="776"/>
              <w:rPr>
                <w:sz w:val="24"/>
              </w:rPr>
            </w:pPr>
            <w:r>
              <w:rPr>
                <w:sz w:val="24"/>
              </w:rPr>
              <w:t xml:space="preserve">Les clés du coffre à armes, ainsi que celles du local où se trouvent le coffre à armes et les munitions ne sont pas laissées </w:t>
            </w:r>
            <w:r>
              <w:rPr>
                <w:spacing w:val="2"/>
                <w:sz w:val="24"/>
              </w:rPr>
              <w:t xml:space="preserve">sur </w:t>
            </w:r>
            <w:r>
              <w:rPr>
                <w:sz w:val="24"/>
              </w:rPr>
              <w:t>les serrures et se</w:t>
            </w:r>
            <w:r>
              <w:rPr>
                <w:spacing w:val="-30"/>
                <w:sz w:val="24"/>
              </w:rPr>
              <w:t xml:space="preserve"> </w:t>
            </w:r>
            <w:r>
              <w:rPr>
                <w:sz w:val="24"/>
              </w:rPr>
              <w:t>trouvent toujours à un endroit sûr, hors de portée d'enfants et de tiers et auquel seul le propriétaire a facilement</w:t>
            </w:r>
            <w:r>
              <w:rPr>
                <w:spacing w:val="-9"/>
                <w:sz w:val="24"/>
              </w:rPr>
              <w:t xml:space="preserve"> </w:t>
            </w:r>
            <w:r>
              <w:rPr>
                <w:sz w:val="24"/>
              </w:rPr>
              <w:t>accès.</w:t>
            </w:r>
          </w:p>
        </w:tc>
      </w:tr>
      <w:tr w:rsidR="000321BF" w14:paraId="4A33A7E2" w14:textId="77777777">
        <w:trPr>
          <w:trHeight w:val="2292"/>
        </w:trPr>
        <w:tc>
          <w:tcPr>
            <w:tcW w:w="15616" w:type="dxa"/>
          </w:tcPr>
          <w:p w14:paraId="5FA878E1" w14:textId="77777777" w:rsidR="000321BF" w:rsidRDefault="00E1140F">
            <w:pPr>
              <w:pStyle w:val="TableParagraph"/>
              <w:spacing w:before="51"/>
              <w:ind w:right="483"/>
              <w:rPr>
                <w:sz w:val="24"/>
              </w:rPr>
            </w:pPr>
            <w:r>
              <w:rPr>
                <w:sz w:val="24"/>
              </w:rPr>
              <w:t xml:space="preserve">Par dérogation à ce qui précède, un particulier peut </w:t>
            </w:r>
            <w:r>
              <w:rPr>
                <w:b/>
                <w:sz w:val="24"/>
              </w:rPr>
              <w:t xml:space="preserve">exposer à sa résidence </w:t>
            </w:r>
            <w:r>
              <w:rPr>
                <w:sz w:val="24"/>
              </w:rPr>
              <w:t xml:space="preserve">des </w:t>
            </w:r>
            <w:r>
              <w:rPr>
                <w:sz w:val="24"/>
                <w:u w:val="single"/>
              </w:rPr>
              <w:t>armes longues soumises à autorisation et autorisées pour la chasse</w:t>
            </w:r>
            <w:r>
              <w:rPr>
                <w:sz w:val="24"/>
              </w:rPr>
              <w:t xml:space="preserve"> MAIS les conditions suivantes doivent être respectées :</w:t>
            </w:r>
          </w:p>
          <w:p w14:paraId="5D32283A" w14:textId="77777777" w:rsidR="000321BF" w:rsidRDefault="00E1140F">
            <w:pPr>
              <w:pStyle w:val="TableParagraph"/>
              <w:rPr>
                <w:sz w:val="24"/>
              </w:rPr>
            </w:pPr>
            <w:r>
              <w:rPr>
                <w:sz w:val="24"/>
              </w:rPr>
              <w:t>1° les armes sont non chargées;</w:t>
            </w:r>
          </w:p>
          <w:p w14:paraId="683E26C3" w14:textId="77777777" w:rsidR="000321BF" w:rsidRDefault="00E1140F">
            <w:pPr>
              <w:pStyle w:val="TableParagraph"/>
              <w:spacing w:before="61"/>
              <w:rPr>
                <w:sz w:val="24"/>
              </w:rPr>
            </w:pPr>
            <w:r>
              <w:rPr>
                <w:sz w:val="24"/>
              </w:rPr>
              <w:t>2° elles sont rendues inopérantes par un dispositif de verrouillage sécuritaire ou par l'enlèvement d'une pièce essentielle à leur fonctionnement;</w:t>
            </w:r>
          </w:p>
          <w:p w14:paraId="3362040C" w14:textId="77777777" w:rsidR="000321BF" w:rsidRDefault="00E1140F">
            <w:pPr>
              <w:pStyle w:val="TableParagraph"/>
              <w:ind w:left="467" w:hanging="360"/>
              <w:rPr>
                <w:sz w:val="24"/>
              </w:rPr>
            </w:pPr>
            <w:r>
              <w:rPr>
                <w:sz w:val="24"/>
              </w:rPr>
              <w:t>3° elles sont solidement attachées au meuble d'étalage gardé verrouillé dans lequel elles sont exposées au moyen d'une chaîne, d'un câble métallique ou d'un dispositif similaire de manière qu'on ne peut les enlever facilement;</w:t>
            </w:r>
          </w:p>
          <w:p w14:paraId="524207D7" w14:textId="77777777" w:rsidR="000321BF" w:rsidRDefault="00E1140F">
            <w:pPr>
              <w:pStyle w:val="TableParagraph"/>
              <w:rPr>
                <w:sz w:val="24"/>
              </w:rPr>
            </w:pPr>
            <w:r>
              <w:rPr>
                <w:sz w:val="24"/>
              </w:rPr>
              <w:t>4° elles ne sont pas exposées avec des munitions qu'elles peuvent tirer et elles ne sont pas immédiatement accessibles ensemble avec ces munitions.</w:t>
            </w:r>
          </w:p>
        </w:tc>
      </w:tr>
    </w:tbl>
    <w:p w14:paraId="3ABC6EB4" w14:textId="77777777" w:rsidR="000321BF" w:rsidRDefault="000321BF">
      <w:pPr>
        <w:rPr>
          <w:sz w:val="24"/>
        </w:rPr>
        <w:sectPr w:rsidR="000321BF">
          <w:type w:val="continuous"/>
          <w:pgSz w:w="16840" w:h="11910" w:orient="landscape"/>
          <w:pgMar w:top="640" w:right="500" w:bottom="280" w:left="5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16"/>
      </w:tblGrid>
      <w:tr w:rsidR="000321BF" w14:paraId="0797A225" w14:textId="77777777">
        <w:trPr>
          <w:trHeight w:val="1403"/>
        </w:trPr>
        <w:tc>
          <w:tcPr>
            <w:tcW w:w="15616" w:type="dxa"/>
          </w:tcPr>
          <w:p w14:paraId="69EFD4EB" w14:textId="77777777" w:rsidR="000321BF" w:rsidRDefault="00E1140F">
            <w:pPr>
              <w:pStyle w:val="TableParagraph"/>
              <w:spacing w:before="52" w:line="292" w:lineRule="auto"/>
              <w:ind w:right="6279"/>
              <w:rPr>
                <w:sz w:val="24"/>
              </w:rPr>
            </w:pPr>
            <w:r>
              <w:rPr>
                <w:sz w:val="24"/>
              </w:rPr>
              <w:lastRenderedPageBreak/>
              <w:t xml:space="preserve">Lors de son </w:t>
            </w:r>
            <w:r>
              <w:rPr>
                <w:b/>
                <w:sz w:val="24"/>
              </w:rPr>
              <w:t>entretien</w:t>
            </w:r>
            <w:r>
              <w:rPr>
                <w:sz w:val="24"/>
              </w:rPr>
              <w:t>, une arme à feu est manipulée dans les conditions de sécurité suivantes: 1° l'arme non chargée est tenue dans une direction de sécurité tout au long de la manipulation; 2° le magasin ou le chargeur est vidé;</w:t>
            </w:r>
          </w:p>
          <w:p w14:paraId="30C819EF" w14:textId="77777777" w:rsidR="000321BF" w:rsidRDefault="00E1140F">
            <w:pPr>
              <w:pStyle w:val="TableParagraph"/>
              <w:spacing w:before="0" w:line="274" w:lineRule="exact"/>
              <w:rPr>
                <w:sz w:val="24"/>
              </w:rPr>
            </w:pPr>
            <w:r>
              <w:rPr>
                <w:sz w:val="24"/>
              </w:rPr>
              <w:t>3° la détente n'est activée que si l'arme pointe une direction de sécurité.</w:t>
            </w:r>
          </w:p>
        </w:tc>
      </w:tr>
      <w:tr w:rsidR="000321BF" w14:paraId="3355AD30" w14:textId="77777777">
        <w:trPr>
          <w:trHeight w:val="3909"/>
        </w:trPr>
        <w:tc>
          <w:tcPr>
            <w:tcW w:w="15616" w:type="dxa"/>
            <w:tcBorders>
              <w:bottom w:val="single" w:sz="6" w:space="0" w:color="000000"/>
            </w:tcBorders>
          </w:tcPr>
          <w:p w14:paraId="5F342162" w14:textId="77777777" w:rsidR="000321BF" w:rsidRDefault="00E1140F">
            <w:pPr>
              <w:pStyle w:val="TableParagraph"/>
              <w:spacing w:before="51"/>
              <w:ind w:right="251"/>
              <w:rPr>
                <w:sz w:val="24"/>
              </w:rPr>
            </w:pPr>
            <w:r>
              <w:rPr>
                <w:sz w:val="24"/>
              </w:rPr>
              <w:t xml:space="preserve">Les titulaires d'une autorisation de détention d'arme et les chasseurs, les tireurs sportifs, les gardes particuliers et les titulaires d'une carte européenne d'armes à feu ne peuvent </w:t>
            </w:r>
            <w:r>
              <w:rPr>
                <w:b/>
                <w:sz w:val="24"/>
              </w:rPr>
              <w:t xml:space="preserve">transporter </w:t>
            </w:r>
            <w:r>
              <w:rPr>
                <w:sz w:val="24"/>
              </w:rPr>
              <w:t>les armes, munitions et chargeurs concernés que dans les conditions suivantes :</w:t>
            </w:r>
          </w:p>
          <w:p w14:paraId="6DF1926D" w14:textId="77777777" w:rsidR="000321BF" w:rsidRDefault="00E1140F">
            <w:pPr>
              <w:pStyle w:val="TableParagraph"/>
              <w:rPr>
                <w:sz w:val="24"/>
              </w:rPr>
            </w:pPr>
            <w:r>
              <w:rPr>
                <w:sz w:val="24"/>
              </w:rPr>
              <w:t>1° les armes, munitions et chargeurs sont transportés à l'abri des regards ;</w:t>
            </w:r>
          </w:p>
          <w:p w14:paraId="678B5A07" w14:textId="77777777" w:rsidR="000321BF" w:rsidRDefault="00E1140F">
            <w:pPr>
              <w:pStyle w:val="TableParagraph"/>
              <w:spacing w:before="61" w:line="292" w:lineRule="auto"/>
              <w:ind w:right="4776"/>
              <w:rPr>
                <w:sz w:val="24"/>
              </w:rPr>
            </w:pPr>
            <w:r>
              <w:rPr>
                <w:sz w:val="24"/>
              </w:rPr>
              <w:t>2° les armes, munitions et chargeurs sont transportés d'une manière ne permettant pas de s'en saisir aisément ; 3° les armes sont non chargées et les chargeurs transportés sont vides ;</w:t>
            </w:r>
          </w:p>
          <w:p w14:paraId="6809B740" w14:textId="77777777" w:rsidR="000321BF" w:rsidRDefault="00E1140F">
            <w:pPr>
              <w:pStyle w:val="TableParagraph"/>
              <w:spacing w:before="0" w:line="275" w:lineRule="exact"/>
              <w:rPr>
                <w:sz w:val="24"/>
              </w:rPr>
            </w:pPr>
            <w:r>
              <w:rPr>
                <w:sz w:val="24"/>
              </w:rPr>
              <w:t>4° sauf si c'est matériellement impossible, les armes soumises à autorisation sont transportées dans le coffre fermé à clé du véhicule ;</w:t>
            </w:r>
          </w:p>
          <w:p w14:paraId="57C803FD" w14:textId="77777777" w:rsidR="000321BF" w:rsidRDefault="00E1140F">
            <w:pPr>
              <w:pStyle w:val="TableParagraph"/>
              <w:ind w:left="467" w:hanging="360"/>
              <w:rPr>
                <w:sz w:val="24"/>
              </w:rPr>
            </w:pPr>
            <w:r>
              <w:rPr>
                <w:sz w:val="24"/>
              </w:rPr>
              <w:t>5° les armes soumises à autorisation sont soit rendues inopérantes par un dispositif de verrouillage de sécurité ou par l'enlèvement d'une pièce essentielle à leur fonctionnement, soit transportées dans un ou plusieurs étuis ou valises fermés à clé ;</w:t>
            </w:r>
          </w:p>
          <w:p w14:paraId="2F4DF6C6" w14:textId="77777777" w:rsidR="000321BF" w:rsidRDefault="00E1140F">
            <w:pPr>
              <w:pStyle w:val="TableParagraph"/>
              <w:rPr>
                <w:sz w:val="24"/>
              </w:rPr>
            </w:pPr>
            <w:r>
              <w:rPr>
                <w:sz w:val="24"/>
              </w:rPr>
              <w:t>6° les munitions sont transportées séparément des armes dans un ou plusieurs sacs, étuis ou valises fermés à clé.</w:t>
            </w:r>
          </w:p>
          <w:p w14:paraId="5D00D90D" w14:textId="77777777" w:rsidR="000321BF" w:rsidRDefault="000321BF">
            <w:pPr>
              <w:pStyle w:val="TableParagraph"/>
              <w:spacing w:before="4"/>
              <w:ind w:left="0"/>
              <w:rPr>
                <w:b/>
                <w:sz w:val="34"/>
              </w:rPr>
            </w:pPr>
          </w:p>
          <w:p w14:paraId="0493C0BC" w14:textId="77777777" w:rsidR="000321BF" w:rsidRDefault="00E1140F">
            <w:pPr>
              <w:pStyle w:val="TableParagraph"/>
              <w:spacing w:before="1"/>
              <w:ind w:right="403"/>
              <w:rPr>
                <w:sz w:val="24"/>
              </w:rPr>
            </w:pPr>
            <w:r>
              <w:rPr>
                <w:sz w:val="24"/>
              </w:rPr>
              <w:t xml:space="preserve">Les conditions sous 4° à 6° ne sont toutefois pas d'application aux </w:t>
            </w:r>
            <w:r>
              <w:rPr>
                <w:sz w:val="24"/>
                <w:u w:val="single"/>
              </w:rPr>
              <w:t>détenteurs d'un permis de chasse</w:t>
            </w:r>
            <w:r>
              <w:rPr>
                <w:sz w:val="24"/>
              </w:rPr>
              <w:t xml:space="preserve"> qui transportent des armes, munitions et chargeurs </w:t>
            </w:r>
            <w:r>
              <w:rPr>
                <w:sz w:val="24"/>
                <w:u w:val="single"/>
              </w:rPr>
              <w:t>sur un</w:t>
            </w:r>
            <w:r>
              <w:rPr>
                <w:sz w:val="24"/>
              </w:rPr>
              <w:t xml:space="preserve"> </w:t>
            </w:r>
            <w:r>
              <w:rPr>
                <w:sz w:val="24"/>
                <w:u w:val="single"/>
              </w:rPr>
              <w:t>terrain de chasse</w:t>
            </w:r>
            <w:r>
              <w:rPr>
                <w:sz w:val="24"/>
              </w:rPr>
              <w:t xml:space="preserve"> ou </w:t>
            </w:r>
            <w:r>
              <w:rPr>
                <w:sz w:val="24"/>
                <w:u w:val="single"/>
              </w:rPr>
              <w:t>entre des terrains de chasse limitrophes</w:t>
            </w:r>
            <w:r>
              <w:rPr>
                <w:sz w:val="24"/>
              </w:rPr>
              <w:t>.</w:t>
            </w:r>
          </w:p>
        </w:tc>
      </w:tr>
      <w:tr w:rsidR="000321BF" w14:paraId="08FA37C4" w14:textId="77777777">
        <w:trPr>
          <w:trHeight w:val="945"/>
        </w:trPr>
        <w:tc>
          <w:tcPr>
            <w:tcW w:w="15616" w:type="dxa"/>
            <w:tcBorders>
              <w:top w:val="single" w:sz="6" w:space="0" w:color="000000"/>
            </w:tcBorders>
          </w:tcPr>
          <w:p w14:paraId="78E1C973" w14:textId="77777777" w:rsidR="000321BF" w:rsidRDefault="00E1140F">
            <w:pPr>
              <w:pStyle w:val="TableParagraph"/>
              <w:spacing w:before="49"/>
              <w:ind w:right="527"/>
              <w:rPr>
                <w:sz w:val="24"/>
              </w:rPr>
            </w:pPr>
            <w:r>
              <w:rPr>
                <w:sz w:val="24"/>
              </w:rPr>
              <w:t xml:space="preserve">Tout détenteur d’arme victime d'un </w:t>
            </w:r>
            <w:r>
              <w:rPr>
                <w:b/>
                <w:sz w:val="24"/>
              </w:rPr>
              <w:t xml:space="preserve">vol </w:t>
            </w:r>
            <w:r>
              <w:rPr>
                <w:sz w:val="24"/>
              </w:rPr>
              <w:t xml:space="preserve">d'armes à feu, de pièces détachées, de munitions, de documents ou de registres s'y rapportant, est tenue d'en faire la déclaration sans délai auprès d'un service de police et de lui fournir </w:t>
            </w:r>
            <w:r>
              <w:rPr>
                <w:sz w:val="24"/>
                <w:u w:val="single"/>
              </w:rPr>
              <w:t>dans les 48 heures</w:t>
            </w:r>
            <w:r>
              <w:rPr>
                <w:sz w:val="24"/>
              </w:rPr>
              <w:t xml:space="preserve"> des données précises sur les objets volés. Il en est de même en cas de tentative de vol.</w:t>
            </w:r>
          </w:p>
        </w:tc>
      </w:tr>
    </w:tbl>
    <w:p w14:paraId="023A1EC4" w14:textId="77777777" w:rsidR="000321BF" w:rsidRDefault="000321BF">
      <w:pPr>
        <w:rPr>
          <w:b/>
          <w:sz w:val="20"/>
        </w:rPr>
      </w:pPr>
    </w:p>
    <w:p w14:paraId="0ABB0066" w14:textId="77777777" w:rsidR="000321BF" w:rsidRDefault="000321BF">
      <w:pPr>
        <w:spacing w:before="3"/>
        <w:rPr>
          <w:b/>
          <w:sz w:val="20"/>
        </w:rPr>
      </w:pPr>
    </w:p>
    <w:p w14:paraId="430B0F91" w14:textId="0055FC88" w:rsidR="000321BF" w:rsidRDefault="00E1140F">
      <w:pPr>
        <w:spacing w:before="90"/>
        <w:ind w:left="220"/>
        <w:rPr>
          <w:sz w:val="24"/>
        </w:rPr>
      </w:pPr>
      <w:r>
        <w:rPr>
          <w:sz w:val="24"/>
        </w:rPr>
        <w:t>Pour prise de connaissance : date et signature</w:t>
      </w:r>
      <w:r w:rsidR="007722A8">
        <w:rPr>
          <w:sz w:val="24"/>
        </w:rPr>
        <w:t xml:space="preserve"> </w:t>
      </w:r>
      <w:r w:rsidR="00D4645D">
        <w:rPr>
          <w:sz w:val="24"/>
        </w:rPr>
        <w:t xml:space="preserve">    </w:t>
      </w:r>
      <w:permStart w:id="553871577" w:edGrp="everyone"/>
      <w:permEnd w:id="553871577"/>
      <w:r w:rsidR="00D4645D">
        <w:rPr>
          <w:sz w:val="24"/>
        </w:rPr>
        <w:t>………………</w:t>
      </w:r>
    </w:p>
    <w:sectPr w:rsidR="000321BF">
      <w:pgSz w:w="16840" w:h="11910" w:orient="landscape"/>
      <w:pgMar w:top="98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460DB"/>
    <w:multiLevelType w:val="hybridMultilevel"/>
    <w:tmpl w:val="DE6EC93E"/>
    <w:lvl w:ilvl="0" w:tplc="D05C0770">
      <w:numFmt w:val="bullet"/>
      <w:lvlText w:val="•"/>
      <w:lvlJc w:val="left"/>
      <w:pPr>
        <w:ind w:left="467" w:hanging="360"/>
      </w:pPr>
      <w:rPr>
        <w:rFonts w:ascii="Arial" w:eastAsia="Arial" w:hAnsi="Arial" w:cs="Arial" w:hint="default"/>
        <w:w w:val="78"/>
        <w:sz w:val="16"/>
        <w:szCs w:val="16"/>
        <w:lang w:val="fr-FR" w:eastAsia="en-US" w:bidi="ar-SA"/>
      </w:rPr>
    </w:lvl>
    <w:lvl w:ilvl="1" w:tplc="8D2C4908">
      <w:numFmt w:val="bullet"/>
      <w:lvlText w:val="•"/>
      <w:lvlJc w:val="left"/>
      <w:pPr>
        <w:ind w:left="1974" w:hanging="360"/>
      </w:pPr>
      <w:rPr>
        <w:rFonts w:hint="default"/>
        <w:lang w:val="fr-FR" w:eastAsia="en-US" w:bidi="ar-SA"/>
      </w:rPr>
    </w:lvl>
    <w:lvl w:ilvl="2" w:tplc="16287C24">
      <w:numFmt w:val="bullet"/>
      <w:lvlText w:val="•"/>
      <w:lvlJc w:val="left"/>
      <w:pPr>
        <w:ind w:left="3489" w:hanging="360"/>
      </w:pPr>
      <w:rPr>
        <w:rFonts w:hint="default"/>
        <w:lang w:val="fr-FR" w:eastAsia="en-US" w:bidi="ar-SA"/>
      </w:rPr>
    </w:lvl>
    <w:lvl w:ilvl="3" w:tplc="D2DA6DB0">
      <w:numFmt w:val="bullet"/>
      <w:lvlText w:val="•"/>
      <w:lvlJc w:val="left"/>
      <w:pPr>
        <w:ind w:left="5003" w:hanging="360"/>
      </w:pPr>
      <w:rPr>
        <w:rFonts w:hint="default"/>
        <w:lang w:val="fr-FR" w:eastAsia="en-US" w:bidi="ar-SA"/>
      </w:rPr>
    </w:lvl>
    <w:lvl w:ilvl="4" w:tplc="80025BAE">
      <w:numFmt w:val="bullet"/>
      <w:lvlText w:val="•"/>
      <w:lvlJc w:val="left"/>
      <w:pPr>
        <w:ind w:left="6518" w:hanging="360"/>
      </w:pPr>
      <w:rPr>
        <w:rFonts w:hint="default"/>
        <w:lang w:val="fr-FR" w:eastAsia="en-US" w:bidi="ar-SA"/>
      </w:rPr>
    </w:lvl>
    <w:lvl w:ilvl="5" w:tplc="76E47CB2">
      <w:numFmt w:val="bullet"/>
      <w:lvlText w:val="•"/>
      <w:lvlJc w:val="left"/>
      <w:pPr>
        <w:ind w:left="8033" w:hanging="360"/>
      </w:pPr>
      <w:rPr>
        <w:rFonts w:hint="default"/>
        <w:lang w:val="fr-FR" w:eastAsia="en-US" w:bidi="ar-SA"/>
      </w:rPr>
    </w:lvl>
    <w:lvl w:ilvl="6" w:tplc="5C4AF6BE">
      <w:numFmt w:val="bullet"/>
      <w:lvlText w:val="•"/>
      <w:lvlJc w:val="left"/>
      <w:pPr>
        <w:ind w:left="9547" w:hanging="360"/>
      </w:pPr>
      <w:rPr>
        <w:rFonts w:hint="default"/>
        <w:lang w:val="fr-FR" w:eastAsia="en-US" w:bidi="ar-SA"/>
      </w:rPr>
    </w:lvl>
    <w:lvl w:ilvl="7" w:tplc="5978D582">
      <w:numFmt w:val="bullet"/>
      <w:lvlText w:val="•"/>
      <w:lvlJc w:val="left"/>
      <w:pPr>
        <w:ind w:left="11062" w:hanging="360"/>
      </w:pPr>
      <w:rPr>
        <w:rFonts w:hint="default"/>
        <w:lang w:val="fr-FR" w:eastAsia="en-US" w:bidi="ar-SA"/>
      </w:rPr>
    </w:lvl>
    <w:lvl w:ilvl="8" w:tplc="91FA8BD4">
      <w:numFmt w:val="bullet"/>
      <w:lvlText w:val="•"/>
      <w:lvlJc w:val="left"/>
      <w:pPr>
        <w:ind w:left="12576" w:hanging="360"/>
      </w:pPr>
      <w:rPr>
        <w:rFonts w:hint="default"/>
        <w:lang w:val="fr-FR" w:eastAsia="en-US" w:bidi="ar-SA"/>
      </w:rPr>
    </w:lvl>
  </w:abstractNum>
  <w:abstractNum w:abstractNumId="1" w15:restartNumberingAfterBreak="0">
    <w:nsid w:val="56CF0B2C"/>
    <w:multiLevelType w:val="hybridMultilevel"/>
    <w:tmpl w:val="93EADB66"/>
    <w:lvl w:ilvl="0" w:tplc="6C08D758">
      <w:numFmt w:val="bullet"/>
      <w:lvlText w:val="•"/>
      <w:lvlJc w:val="left"/>
      <w:pPr>
        <w:ind w:left="467" w:hanging="360"/>
      </w:pPr>
      <w:rPr>
        <w:rFonts w:ascii="Arial" w:eastAsia="Arial" w:hAnsi="Arial" w:cs="Arial" w:hint="default"/>
        <w:w w:val="78"/>
        <w:sz w:val="16"/>
        <w:szCs w:val="16"/>
        <w:lang w:val="fr-FR" w:eastAsia="en-US" w:bidi="ar-SA"/>
      </w:rPr>
    </w:lvl>
    <w:lvl w:ilvl="1" w:tplc="E4786894">
      <w:numFmt w:val="bullet"/>
      <w:lvlText w:val="•"/>
      <w:lvlJc w:val="left"/>
      <w:pPr>
        <w:ind w:left="1974" w:hanging="360"/>
      </w:pPr>
      <w:rPr>
        <w:rFonts w:hint="default"/>
        <w:lang w:val="fr-FR" w:eastAsia="en-US" w:bidi="ar-SA"/>
      </w:rPr>
    </w:lvl>
    <w:lvl w:ilvl="2" w:tplc="5FB28E00">
      <w:numFmt w:val="bullet"/>
      <w:lvlText w:val="•"/>
      <w:lvlJc w:val="left"/>
      <w:pPr>
        <w:ind w:left="3489" w:hanging="360"/>
      </w:pPr>
      <w:rPr>
        <w:rFonts w:hint="default"/>
        <w:lang w:val="fr-FR" w:eastAsia="en-US" w:bidi="ar-SA"/>
      </w:rPr>
    </w:lvl>
    <w:lvl w:ilvl="3" w:tplc="155A643A">
      <w:numFmt w:val="bullet"/>
      <w:lvlText w:val="•"/>
      <w:lvlJc w:val="left"/>
      <w:pPr>
        <w:ind w:left="5003" w:hanging="360"/>
      </w:pPr>
      <w:rPr>
        <w:rFonts w:hint="default"/>
        <w:lang w:val="fr-FR" w:eastAsia="en-US" w:bidi="ar-SA"/>
      </w:rPr>
    </w:lvl>
    <w:lvl w:ilvl="4" w:tplc="6638E214">
      <w:numFmt w:val="bullet"/>
      <w:lvlText w:val="•"/>
      <w:lvlJc w:val="left"/>
      <w:pPr>
        <w:ind w:left="6518" w:hanging="360"/>
      </w:pPr>
      <w:rPr>
        <w:rFonts w:hint="default"/>
        <w:lang w:val="fr-FR" w:eastAsia="en-US" w:bidi="ar-SA"/>
      </w:rPr>
    </w:lvl>
    <w:lvl w:ilvl="5" w:tplc="A262F59E">
      <w:numFmt w:val="bullet"/>
      <w:lvlText w:val="•"/>
      <w:lvlJc w:val="left"/>
      <w:pPr>
        <w:ind w:left="8033" w:hanging="360"/>
      </w:pPr>
      <w:rPr>
        <w:rFonts w:hint="default"/>
        <w:lang w:val="fr-FR" w:eastAsia="en-US" w:bidi="ar-SA"/>
      </w:rPr>
    </w:lvl>
    <w:lvl w:ilvl="6" w:tplc="68C24D7C">
      <w:numFmt w:val="bullet"/>
      <w:lvlText w:val="•"/>
      <w:lvlJc w:val="left"/>
      <w:pPr>
        <w:ind w:left="9547" w:hanging="360"/>
      </w:pPr>
      <w:rPr>
        <w:rFonts w:hint="default"/>
        <w:lang w:val="fr-FR" w:eastAsia="en-US" w:bidi="ar-SA"/>
      </w:rPr>
    </w:lvl>
    <w:lvl w:ilvl="7" w:tplc="FD24F50A">
      <w:numFmt w:val="bullet"/>
      <w:lvlText w:val="•"/>
      <w:lvlJc w:val="left"/>
      <w:pPr>
        <w:ind w:left="11062" w:hanging="360"/>
      </w:pPr>
      <w:rPr>
        <w:rFonts w:hint="default"/>
        <w:lang w:val="fr-FR" w:eastAsia="en-US" w:bidi="ar-SA"/>
      </w:rPr>
    </w:lvl>
    <w:lvl w:ilvl="8" w:tplc="2EA6144E">
      <w:numFmt w:val="bullet"/>
      <w:lvlText w:val="•"/>
      <w:lvlJc w:val="left"/>
      <w:pPr>
        <w:ind w:left="12576" w:hanging="360"/>
      </w:pPr>
      <w:rPr>
        <w:rFonts w:hint="default"/>
        <w:lang w:val="fr-FR" w:eastAsia="en-US" w:bidi="ar-SA"/>
      </w:rPr>
    </w:lvl>
  </w:abstractNum>
  <w:num w:numId="1" w16cid:durableId="516965708">
    <w:abstractNumId w:val="0"/>
  </w:num>
  <w:num w:numId="2" w16cid:durableId="1887914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SOfxEiOS03guaLoQp51GzJsY94X/HBkr0xcTl8WTcthuzcIrXklHr1rk8Ac8yjW9aqz/yKKaUIMy0okFnT/Fw==" w:salt="2McGxriOdE/298wPoctFVA=="/>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321BF"/>
    <w:rsid w:val="000321BF"/>
    <w:rsid w:val="00655DFC"/>
    <w:rsid w:val="007722A8"/>
    <w:rsid w:val="00D4645D"/>
    <w:rsid w:val="00E114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682C"/>
  <w15:docId w15:val="{CB682281-DA73-41FE-8BE7-FC288E39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32"/>
      <w:szCs w:val="32"/>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60"/>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3925</Characters>
  <Application>Microsoft Office Word</Application>
  <DocSecurity>8</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MESURES DE SECURITE EN MATIERE D’ARMES A FEU</dc:title>
  <dc:creator>cdavin</dc:creator>
  <cp:lastModifiedBy>Genson Karine (ZP Nissan)</cp:lastModifiedBy>
  <cp:revision>5</cp:revision>
  <dcterms:created xsi:type="dcterms:W3CDTF">2022-05-18T09:18:00Z</dcterms:created>
  <dcterms:modified xsi:type="dcterms:W3CDTF">2022-05-19T10:01:00Z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Microsoft® Word 2010</vt:lpwstr>
  </property>
  <property fmtid="{D5CDD505-2E9C-101B-9397-08002B2CF9AE}" pid="4" name="LastSaved">
    <vt:filetime>2022-05-18T00:00:00Z</vt:filetime>
  </property>
</Properties>
</file>